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673" w:rsidRPr="00350EA2" w:rsidRDefault="00955673" w:rsidP="00955673">
      <w:pPr>
        <w:ind w:left="-108" w:right="-108"/>
        <w:jc w:val="center"/>
        <w:rPr>
          <w:rFonts w:ascii="Times New Roman" w:hAnsi="Times New Roman" w:cs="Times New Roman"/>
          <w:b/>
          <w:sz w:val="32"/>
          <w:szCs w:val="32"/>
        </w:rPr>
      </w:pPr>
      <w:r w:rsidRPr="00350EA2">
        <w:rPr>
          <w:rFonts w:ascii="Times New Roman" w:hAnsi="Times New Roman" w:cs="Times New Roman"/>
          <w:b/>
          <w:sz w:val="32"/>
          <w:szCs w:val="32"/>
        </w:rPr>
        <w:t>QUY TRÌNH</w:t>
      </w:r>
    </w:p>
    <w:p w:rsidR="009A0D18" w:rsidRPr="00350EA2" w:rsidRDefault="00955673" w:rsidP="00350EA2">
      <w:pPr>
        <w:jc w:val="center"/>
        <w:rPr>
          <w:rFonts w:ascii="Times New Roman" w:hAnsi="Times New Roman" w:cs="Times New Roman"/>
          <w:b/>
          <w:bCs/>
          <w:sz w:val="32"/>
          <w:szCs w:val="32"/>
        </w:rPr>
      </w:pPr>
      <w:r w:rsidRPr="00350EA2">
        <w:rPr>
          <w:rFonts w:ascii="Times New Roman" w:hAnsi="Times New Roman" w:cs="Times New Roman"/>
          <w:b/>
          <w:bCs/>
          <w:sz w:val="32"/>
          <w:szCs w:val="32"/>
        </w:rPr>
        <w:t>CẤP PHÉP SỬA CHỮA,</w:t>
      </w:r>
      <w:r w:rsidRPr="00350EA2">
        <w:rPr>
          <w:rFonts w:ascii="Times New Roman" w:hAnsi="Times New Roman" w:cs="Times New Roman"/>
          <w:b/>
          <w:bCs/>
          <w:sz w:val="32"/>
          <w:szCs w:val="32"/>
        </w:rPr>
        <w:t xml:space="preserve"> </w:t>
      </w:r>
      <w:r w:rsidRPr="00350EA2">
        <w:rPr>
          <w:rFonts w:ascii="Times New Roman" w:hAnsi="Times New Roman" w:cs="Times New Roman"/>
          <w:b/>
          <w:bCs/>
          <w:sz w:val="32"/>
          <w:szCs w:val="32"/>
        </w:rPr>
        <w:t>VỆ SINH HOẶC TIẾN HÀNH CÁC HOẠT ĐỘNG KHÁC TRONG VÙNG NƯỚC CẢNG BIỂN</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DC6673">
        <w:rPr>
          <w:rFonts w:ascii="Times New Roman" w:eastAsia="Times New Roman" w:hAnsi="Times New Roman" w:cs="Times New Roman"/>
          <w:b/>
          <w:color w:val="333333"/>
          <w:sz w:val="28"/>
          <w:szCs w:val="28"/>
        </w:rPr>
        <w:t>1. Trình tự thực hiện:</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C6673">
        <w:rPr>
          <w:rFonts w:ascii="Times New Roman" w:eastAsia="Times New Roman" w:hAnsi="Times New Roman" w:cs="Times New Roman"/>
          <w:color w:val="333333"/>
          <w:sz w:val="28"/>
          <w:szCs w:val="28"/>
        </w:rPr>
        <w:t>a) Nộp hồ sơ TTHC:</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C6673">
        <w:rPr>
          <w:rFonts w:ascii="Times New Roman" w:eastAsia="Times New Roman" w:hAnsi="Times New Roman" w:cs="Times New Roman"/>
          <w:color w:val="333333"/>
          <w:sz w:val="28"/>
          <w:szCs w:val="28"/>
        </w:rPr>
        <w:t>Người đề nghị gửi văn bản đề nghị chấp thuận việc thực hiện sửa chữa, vệ sinh tàu thuyền hoặc thực hiện các hoạt động hàng hải khác trong vùng nước cảng biển nếu có ảnh hưởng đến phương án phòng, chống cháy, nổ đến Cảng vụ hàng hải.</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C6673">
        <w:rPr>
          <w:rFonts w:ascii="Times New Roman" w:eastAsia="Times New Roman" w:hAnsi="Times New Roman" w:cs="Times New Roman"/>
          <w:color w:val="333333"/>
          <w:sz w:val="28"/>
          <w:szCs w:val="28"/>
        </w:rPr>
        <w:t>b) Giải quyết TTHC:</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C6673">
        <w:rPr>
          <w:rFonts w:ascii="Times New Roman" w:eastAsia="Times New Roman" w:hAnsi="Times New Roman" w:cs="Times New Roman"/>
          <w:color w:val="333333"/>
          <w:sz w:val="28"/>
          <w:szCs w:val="28"/>
        </w:rPr>
        <w:t>Chậm nhất 02 ngày làm việc, kể từ khi nhận được văn bản đề nghị, Cảng vụ hàng hải tổ chức lấy ý kiến và có văn bản trả lời; trường hợp không chấp thuận phải có văn bản trả lời và nêu rõ lý do;</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DC6673">
        <w:rPr>
          <w:rFonts w:ascii="Times New Roman" w:eastAsia="Times New Roman" w:hAnsi="Times New Roman" w:cs="Times New Roman"/>
          <w:b/>
          <w:color w:val="333333"/>
          <w:sz w:val="28"/>
          <w:szCs w:val="28"/>
        </w:rPr>
        <w:t>2.  Cách thức thực hiện:</w:t>
      </w:r>
      <w:bookmarkStart w:id="0" w:name="_GoBack"/>
      <w:bookmarkEnd w:id="0"/>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C6673">
        <w:rPr>
          <w:rFonts w:ascii="Times New Roman" w:eastAsia="Times New Roman" w:hAnsi="Times New Roman" w:cs="Times New Roman"/>
          <w:color w:val="333333"/>
          <w:sz w:val="28"/>
          <w:szCs w:val="28"/>
        </w:rPr>
        <w:t>Gửi trực tiếp hoặc thông qua hệ thống bưu chính.</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DC6673">
        <w:rPr>
          <w:rFonts w:ascii="Times New Roman" w:eastAsia="Times New Roman" w:hAnsi="Times New Roman" w:cs="Times New Roman"/>
          <w:b/>
          <w:color w:val="333333"/>
          <w:sz w:val="28"/>
          <w:szCs w:val="28"/>
        </w:rPr>
        <w:t>3. Thành phần, số lượng hồ sơ:</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C6673">
        <w:rPr>
          <w:rFonts w:ascii="Times New Roman" w:eastAsia="Times New Roman" w:hAnsi="Times New Roman" w:cs="Times New Roman"/>
          <w:color w:val="333333"/>
          <w:sz w:val="28"/>
          <w:szCs w:val="28"/>
        </w:rPr>
        <w:t>a) Thành phần hồ sơ:</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C6673">
        <w:rPr>
          <w:rFonts w:ascii="Times New Roman" w:eastAsia="Times New Roman" w:hAnsi="Times New Roman" w:cs="Times New Roman"/>
          <w:color w:val="333333"/>
          <w:sz w:val="28"/>
          <w:szCs w:val="28"/>
        </w:rPr>
        <w:t>- Văn bản đề nghị chấp thuận việc thực hiện sửa chữa, vệ sinh tàu thuyền hoặc thực hiện các hoạt động hàng hải khác trong vùng nước cảng biển nếu có ảnh hưởng đến phương án phòng, chống cháy, nổ theo mẫu;</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C6673">
        <w:rPr>
          <w:rFonts w:ascii="Times New Roman" w:eastAsia="Times New Roman" w:hAnsi="Times New Roman" w:cs="Times New Roman"/>
          <w:color w:val="333333"/>
          <w:sz w:val="28"/>
          <w:szCs w:val="28"/>
        </w:rPr>
        <w:t>- Bản sao phương án phòng, chống cháy nổ.</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C6673">
        <w:rPr>
          <w:rFonts w:ascii="Times New Roman" w:eastAsia="Times New Roman" w:hAnsi="Times New Roman" w:cs="Times New Roman"/>
          <w:color w:val="333333"/>
          <w:sz w:val="28"/>
          <w:szCs w:val="28"/>
        </w:rPr>
        <w:t>b) Số lượng hồ sơ: 01 bộ.      </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DC6673">
        <w:rPr>
          <w:rFonts w:ascii="Times New Roman" w:eastAsia="Times New Roman" w:hAnsi="Times New Roman" w:cs="Times New Roman"/>
          <w:b/>
          <w:color w:val="333333"/>
          <w:sz w:val="28"/>
          <w:szCs w:val="28"/>
        </w:rPr>
        <w:t>4. Thời hạn giải quyết:</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C6673">
        <w:rPr>
          <w:rFonts w:ascii="Times New Roman" w:eastAsia="Times New Roman" w:hAnsi="Times New Roman" w:cs="Times New Roman"/>
          <w:color w:val="333333"/>
          <w:sz w:val="28"/>
          <w:szCs w:val="28"/>
        </w:rPr>
        <w:t>Chậm nhất 02 ngày làm việc, kể từ khi nhận được văn bản đề nghị.</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DC6673">
        <w:rPr>
          <w:rFonts w:ascii="Times New Roman" w:eastAsia="Times New Roman" w:hAnsi="Times New Roman" w:cs="Times New Roman"/>
          <w:b/>
          <w:color w:val="333333"/>
          <w:sz w:val="28"/>
          <w:szCs w:val="28"/>
        </w:rPr>
        <w:t>5. Đối tượng thực hiện TTHC:</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C6673">
        <w:rPr>
          <w:rFonts w:ascii="Times New Roman" w:eastAsia="Times New Roman" w:hAnsi="Times New Roman" w:cs="Times New Roman"/>
          <w:color w:val="333333"/>
          <w:sz w:val="28"/>
          <w:szCs w:val="28"/>
        </w:rPr>
        <w:t>Tổ chức, cá nhân.</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DC6673">
        <w:rPr>
          <w:rFonts w:ascii="Times New Roman" w:eastAsia="Times New Roman" w:hAnsi="Times New Roman" w:cs="Times New Roman"/>
          <w:b/>
          <w:color w:val="333333"/>
          <w:sz w:val="28"/>
          <w:szCs w:val="28"/>
        </w:rPr>
        <w:t>6. Cơ quan thực hiện TTHC:</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C6673">
        <w:rPr>
          <w:rFonts w:ascii="Times New Roman" w:eastAsia="Times New Roman" w:hAnsi="Times New Roman" w:cs="Times New Roman"/>
          <w:color w:val="333333"/>
          <w:sz w:val="28"/>
          <w:szCs w:val="28"/>
        </w:rPr>
        <w:t>a) Cơ quan có thẩm quyền quyết định: Cảng vụ hàng hải;</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C6673">
        <w:rPr>
          <w:rFonts w:ascii="Times New Roman" w:eastAsia="Times New Roman" w:hAnsi="Times New Roman" w:cs="Times New Roman"/>
          <w:color w:val="333333"/>
          <w:sz w:val="28"/>
          <w:szCs w:val="28"/>
        </w:rPr>
        <w:t>b) Cơ quan hoặc người có thẩm quyền được ủy quyền hoặc phân cấp thực hiện: Không có;</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C6673">
        <w:rPr>
          <w:rFonts w:ascii="Times New Roman" w:eastAsia="Times New Roman" w:hAnsi="Times New Roman" w:cs="Times New Roman"/>
          <w:color w:val="333333"/>
          <w:sz w:val="28"/>
          <w:szCs w:val="28"/>
        </w:rPr>
        <w:t>c) Cơ quan trực tiếp thực hiện thủ tục hành chính: Cảng vụ hàng hải;</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C6673">
        <w:rPr>
          <w:rFonts w:ascii="Times New Roman" w:eastAsia="Times New Roman" w:hAnsi="Times New Roman" w:cs="Times New Roman"/>
          <w:color w:val="333333"/>
          <w:sz w:val="28"/>
          <w:szCs w:val="28"/>
        </w:rPr>
        <w:t>d) Cơ quan phối hợp: Không có.</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DC6673">
        <w:rPr>
          <w:rFonts w:ascii="Times New Roman" w:eastAsia="Times New Roman" w:hAnsi="Times New Roman" w:cs="Times New Roman"/>
          <w:b/>
          <w:color w:val="333333"/>
          <w:sz w:val="28"/>
          <w:szCs w:val="28"/>
        </w:rPr>
        <w:t>7. Kết quả của việc thực hiện TTHC:</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C6673">
        <w:rPr>
          <w:rFonts w:ascii="Times New Roman" w:eastAsia="Times New Roman" w:hAnsi="Times New Roman" w:cs="Times New Roman"/>
          <w:color w:val="333333"/>
          <w:sz w:val="28"/>
          <w:szCs w:val="28"/>
        </w:rPr>
        <w:lastRenderedPageBreak/>
        <w:t>Văn bản trả lời của Cảng vụ hàng hải.</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DC6673">
        <w:rPr>
          <w:rFonts w:ascii="Times New Roman" w:eastAsia="Times New Roman" w:hAnsi="Times New Roman" w:cs="Times New Roman"/>
          <w:b/>
          <w:color w:val="333333"/>
          <w:sz w:val="28"/>
          <w:szCs w:val="28"/>
        </w:rPr>
        <w:t>8. Phí, lệ phí: Không có.</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DC6673">
        <w:rPr>
          <w:rFonts w:ascii="Times New Roman" w:eastAsia="Times New Roman" w:hAnsi="Times New Roman" w:cs="Times New Roman"/>
          <w:b/>
          <w:color w:val="333333"/>
          <w:sz w:val="28"/>
          <w:szCs w:val="28"/>
        </w:rPr>
        <w:t>9. Tên mẫu đơn, mẫu tờ khai hành chính: </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C6673">
        <w:rPr>
          <w:rFonts w:ascii="Times New Roman" w:eastAsia="Times New Roman" w:hAnsi="Times New Roman" w:cs="Times New Roman"/>
          <w:color w:val="333333"/>
          <w:sz w:val="28"/>
          <w:szCs w:val="28"/>
        </w:rPr>
        <w:t>Văn bản đề nghị cho tiến hành hoạt động trong vùng nước cảng biển và khu vực quản lý của cảng vụ hàng hải.</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C6673">
        <w:rPr>
          <w:rFonts w:ascii="Times New Roman" w:eastAsia="Times New Roman" w:hAnsi="Times New Roman" w:cs="Times New Roman"/>
          <w:b/>
          <w:color w:val="333333"/>
          <w:sz w:val="28"/>
          <w:szCs w:val="28"/>
        </w:rPr>
        <w:t>10. Yêu cầu, điều kiện thực hiện TTHC:</w:t>
      </w:r>
      <w:r w:rsidRPr="00DC6673">
        <w:rPr>
          <w:rFonts w:ascii="Times New Roman" w:eastAsia="Times New Roman" w:hAnsi="Times New Roman" w:cs="Times New Roman"/>
          <w:color w:val="333333"/>
          <w:sz w:val="28"/>
          <w:szCs w:val="28"/>
        </w:rPr>
        <w:t> Không có.</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DC6673">
        <w:rPr>
          <w:rFonts w:ascii="Times New Roman" w:eastAsia="Times New Roman" w:hAnsi="Times New Roman" w:cs="Times New Roman"/>
          <w:b/>
          <w:color w:val="333333"/>
          <w:sz w:val="28"/>
          <w:szCs w:val="28"/>
        </w:rPr>
        <w:t>11.  Căn cứ pháp lý của TTHC:</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C6673">
        <w:rPr>
          <w:rFonts w:ascii="Times New Roman" w:eastAsia="Times New Roman" w:hAnsi="Times New Roman" w:cs="Times New Roman"/>
          <w:color w:val="333333"/>
          <w:sz w:val="28"/>
          <w:szCs w:val="28"/>
        </w:rPr>
        <w:t>- Bộ luật Hàng hải Việt Nam ngày 25/11/2015;</w:t>
      </w:r>
    </w:p>
    <w:p w:rsidR="00DC6673" w:rsidRPr="00DC6673" w:rsidRDefault="00DC6673" w:rsidP="00DC6673">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C6673">
        <w:rPr>
          <w:rFonts w:ascii="Times New Roman" w:eastAsia="Times New Roman" w:hAnsi="Times New Roman" w:cs="Times New Roman"/>
          <w:color w:val="333333"/>
          <w:sz w:val="28"/>
          <w:szCs w:val="28"/>
        </w:rPr>
        <w:t>- Nghị định số 58/2017/NĐ-CP ngày 10/5/2017 của Chính phủ quy định chi tiết một số điều của Bộ luật Hàng hải Việt Nam về quản lý hoạt động hàng hải.</w:t>
      </w:r>
    </w:p>
    <w:p w:rsidR="00DC6673" w:rsidRDefault="00DC6673" w:rsidP="00955673"/>
    <w:sectPr w:rsidR="00DC6673" w:rsidSect="00A8205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73"/>
    <w:rsid w:val="00350EA2"/>
    <w:rsid w:val="00955673"/>
    <w:rsid w:val="009A0D18"/>
    <w:rsid w:val="00A82055"/>
    <w:rsid w:val="00DC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8C50"/>
  <w15:chartTrackingRefBased/>
  <w15:docId w15:val="{56B3A85C-78A7-4695-B36C-A41A91A8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C66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66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C66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6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533513">
      <w:bodyDiv w:val="1"/>
      <w:marLeft w:val="0"/>
      <w:marRight w:val="0"/>
      <w:marTop w:val="0"/>
      <w:marBottom w:val="0"/>
      <w:divBdr>
        <w:top w:val="none" w:sz="0" w:space="0" w:color="auto"/>
        <w:left w:val="none" w:sz="0" w:space="0" w:color="auto"/>
        <w:bottom w:val="none" w:sz="0" w:space="0" w:color="auto"/>
        <w:right w:val="none" w:sz="0" w:space="0" w:color="auto"/>
      </w:divBdr>
      <w:divsChild>
        <w:div w:id="60101319">
          <w:marLeft w:val="0"/>
          <w:marRight w:val="0"/>
          <w:marTop w:val="0"/>
          <w:marBottom w:val="0"/>
          <w:divBdr>
            <w:top w:val="none" w:sz="0" w:space="0" w:color="auto"/>
            <w:left w:val="none" w:sz="0" w:space="0" w:color="auto"/>
            <w:bottom w:val="none" w:sz="0" w:space="0" w:color="auto"/>
            <w:right w:val="none" w:sz="0" w:space="0" w:color="auto"/>
          </w:divBdr>
          <w:divsChild>
            <w:div w:id="1088503636">
              <w:marLeft w:val="0"/>
              <w:marRight w:val="0"/>
              <w:marTop w:val="0"/>
              <w:marBottom w:val="0"/>
              <w:divBdr>
                <w:top w:val="none" w:sz="0" w:space="0" w:color="auto"/>
                <w:left w:val="none" w:sz="0" w:space="0" w:color="auto"/>
                <w:bottom w:val="none" w:sz="0" w:space="0" w:color="auto"/>
                <w:right w:val="none" w:sz="0" w:space="0" w:color="auto"/>
              </w:divBdr>
              <w:divsChild>
                <w:div w:id="1610894353">
                  <w:marLeft w:val="0"/>
                  <w:marRight w:val="0"/>
                  <w:marTop w:val="0"/>
                  <w:marBottom w:val="0"/>
                  <w:divBdr>
                    <w:top w:val="none" w:sz="0" w:space="0" w:color="auto"/>
                    <w:left w:val="none" w:sz="0" w:space="0" w:color="auto"/>
                    <w:bottom w:val="none" w:sz="0" w:space="0" w:color="auto"/>
                    <w:right w:val="none" w:sz="0" w:space="0" w:color="auto"/>
                  </w:divBdr>
                  <w:divsChild>
                    <w:div w:id="264967979">
                      <w:marLeft w:val="0"/>
                      <w:marRight w:val="0"/>
                      <w:marTop w:val="0"/>
                      <w:marBottom w:val="0"/>
                      <w:divBdr>
                        <w:top w:val="none" w:sz="0" w:space="0" w:color="auto"/>
                        <w:left w:val="none" w:sz="0" w:space="0" w:color="auto"/>
                        <w:bottom w:val="none" w:sz="0" w:space="0" w:color="auto"/>
                        <w:right w:val="none" w:sz="0" w:space="0" w:color="auto"/>
                      </w:divBdr>
                      <w:divsChild>
                        <w:div w:id="158083295">
                          <w:marLeft w:val="0"/>
                          <w:marRight w:val="0"/>
                          <w:marTop w:val="0"/>
                          <w:marBottom w:val="0"/>
                          <w:divBdr>
                            <w:top w:val="none" w:sz="0" w:space="0" w:color="auto"/>
                            <w:left w:val="none" w:sz="0" w:space="0" w:color="auto"/>
                            <w:bottom w:val="none" w:sz="0" w:space="0" w:color="auto"/>
                            <w:right w:val="none" w:sz="0" w:space="0" w:color="auto"/>
                          </w:divBdr>
                          <w:divsChild>
                            <w:div w:id="7555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Dang</dc:creator>
  <cp:keywords/>
  <dc:description/>
  <cp:lastModifiedBy>Nguyen Dang</cp:lastModifiedBy>
  <cp:revision>1</cp:revision>
  <dcterms:created xsi:type="dcterms:W3CDTF">2021-03-03T09:13:00Z</dcterms:created>
  <dcterms:modified xsi:type="dcterms:W3CDTF">2021-03-03T09:23:00Z</dcterms:modified>
</cp:coreProperties>
</file>